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tblCellMar>
          <w:left w:w="0" w:type="dxa"/>
          <w:right w:w="0" w:type="dxa"/>
        </w:tblCellMar>
        <w:tblLook w:val="04A0" w:firstRow="1" w:lastRow="0" w:firstColumn="1" w:lastColumn="0" w:noHBand="0" w:noVBand="1"/>
      </w:tblPr>
      <w:tblGrid>
        <w:gridCol w:w="3678"/>
        <w:gridCol w:w="25"/>
        <w:gridCol w:w="5787"/>
      </w:tblGrid>
      <w:tr w:rsidR="008425A6" w:rsidRPr="008425A6" w:rsidTr="008425A6">
        <w:tc>
          <w:tcPr>
            <w:tcW w:w="3678" w:type="dxa"/>
            <w:tcBorders>
              <w:top w:val="single" w:sz="6" w:space="0" w:color="333333"/>
              <w:left w:val="single" w:sz="6" w:space="0" w:color="333333"/>
              <w:bottom w:val="single" w:sz="6" w:space="0" w:color="333333"/>
              <w:right w:val="single" w:sz="6" w:space="0" w:color="333333"/>
            </w:tcBorders>
            <w:vAlign w:val="center"/>
            <w:hideMark/>
          </w:tcPr>
          <w:p w:rsidR="008425A6" w:rsidRPr="008425A6" w:rsidRDefault="008425A6" w:rsidP="008425A6">
            <w:pPr>
              <w:spacing w:before="120" w:after="12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sz w:val="26"/>
                <w:szCs w:val="26"/>
              </w:rPr>
              <w:t>QUỐC HỘI KHÓA XV</w:t>
            </w:r>
          </w:p>
          <w:p w:rsidR="008425A6" w:rsidRPr="008425A6" w:rsidRDefault="008425A6" w:rsidP="008425A6">
            <w:pPr>
              <w:spacing w:after="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b/>
                <w:bCs/>
                <w:sz w:val="26"/>
                <w:szCs w:val="26"/>
              </w:rPr>
              <w:t>ỦY BAN DỰ THẢO SỬA ĐỔI,</w:t>
            </w:r>
          </w:p>
          <w:p w:rsidR="008425A6" w:rsidRPr="008425A6" w:rsidRDefault="008425A6" w:rsidP="008425A6">
            <w:pPr>
              <w:spacing w:after="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b/>
                <w:bCs/>
                <w:sz w:val="26"/>
                <w:szCs w:val="26"/>
              </w:rPr>
              <w:t>BỔ SUNG MỘT SỐ ĐIỀU CỦA</w:t>
            </w:r>
          </w:p>
          <w:p w:rsidR="008425A6" w:rsidRPr="008425A6" w:rsidRDefault="008425A6" w:rsidP="008425A6">
            <w:pPr>
              <w:spacing w:after="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b/>
                <w:bCs/>
                <w:sz w:val="26"/>
                <w:szCs w:val="26"/>
              </w:rPr>
              <w:t>HIẾN PHÁP NĂM 2013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8425A6" w:rsidRPr="008425A6" w:rsidRDefault="008425A6" w:rsidP="008425A6">
            <w:pPr>
              <w:spacing w:after="0" w:line="240" w:lineRule="auto"/>
              <w:rPr>
                <w:rFonts w:ascii="Times New Roman" w:eastAsia="Times New Roman" w:hAnsi="Times New Roman" w:cs="Times New Roman"/>
                <w:sz w:val="26"/>
                <w:szCs w:val="26"/>
              </w:rPr>
            </w:pPr>
          </w:p>
        </w:tc>
        <w:tc>
          <w:tcPr>
            <w:tcW w:w="5787" w:type="dxa"/>
            <w:tcBorders>
              <w:top w:val="single" w:sz="6" w:space="0" w:color="333333"/>
              <w:left w:val="single" w:sz="6" w:space="0" w:color="333333"/>
              <w:bottom w:val="single" w:sz="6" w:space="0" w:color="333333"/>
              <w:right w:val="single" w:sz="6" w:space="0" w:color="333333"/>
            </w:tcBorders>
            <w:vAlign w:val="center"/>
            <w:hideMark/>
          </w:tcPr>
          <w:p w:rsidR="008425A6" w:rsidRPr="008425A6" w:rsidRDefault="008425A6" w:rsidP="008425A6">
            <w:pPr>
              <w:spacing w:after="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b/>
                <w:bCs/>
                <w:sz w:val="26"/>
                <w:szCs w:val="26"/>
              </w:rPr>
              <w:t>CỘNG HÒA XÃ HỘI CHỦ NGHĨA VIỆT NAM</w:t>
            </w:r>
          </w:p>
          <w:p w:rsidR="008425A6" w:rsidRPr="008425A6" w:rsidRDefault="008425A6" w:rsidP="008425A6">
            <w:pPr>
              <w:spacing w:after="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b/>
                <w:bCs/>
                <w:sz w:val="26"/>
                <w:szCs w:val="26"/>
              </w:rPr>
              <w:t>Độc lập - Tự do - Hạnh phúc</w:t>
            </w:r>
          </w:p>
          <w:p w:rsidR="008425A6" w:rsidRPr="008425A6" w:rsidRDefault="008425A6" w:rsidP="008425A6">
            <w:pPr>
              <w:spacing w:before="120" w:after="12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sz w:val="26"/>
                <w:szCs w:val="26"/>
              </w:rPr>
              <w:t>-----</w:t>
            </w:r>
          </w:p>
          <w:p w:rsidR="008425A6" w:rsidRPr="008425A6" w:rsidRDefault="008425A6" w:rsidP="008425A6">
            <w:pPr>
              <w:spacing w:after="0" w:line="240" w:lineRule="auto"/>
              <w:jc w:val="center"/>
              <w:rPr>
                <w:rFonts w:ascii="Times New Roman" w:eastAsia="Times New Roman" w:hAnsi="Times New Roman" w:cs="Times New Roman"/>
                <w:sz w:val="26"/>
                <w:szCs w:val="26"/>
              </w:rPr>
            </w:pPr>
            <w:r w:rsidRPr="008425A6">
              <w:rPr>
                <w:rFonts w:ascii="Times New Roman" w:eastAsia="Times New Roman" w:hAnsi="Times New Roman" w:cs="Times New Roman"/>
                <w:i/>
                <w:iCs/>
                <w:sz w:val="26"/>
                <w:szCs w:val="26"/>
              </w:rPr>
              <w:t>Hà Nội, ngày 05 tháng 5 năm 2025</w:t>
            </w:r>
          </w:p>
        </w:tc>
      </w:tr>
    </w:tbl>
    <w:p w:rsidR="008425A6" w:rsidRPr="008425A6" w:rsidRDefault="008425A6" w:rsidP="008425A6">
      <w:pPr>
        <w:spacing w:after="0" w:line="240" w:lineRule="auto"/>
        <w:jc w:val="center"/>
        <w:outlineLvl w:val="1"/>
        <w:rPr>
          <w:rFonts w:ascii="Times New Roman" w:eastAsia="Times New Roman" w:hAnsi="Times New Roman" w:cs="Times New Roman"/>
          <w:b/>
          <w:bCs/>
          <w:color w:val="152C4A"/>
          <w:sz w:val="28"/>
          <w:szCs w:val="28"/>
        </w:rPr>
      </w:pPr>
      <w:bookmarkStart w:id="0" w:name="_GoBack"/>
      <w:bookmarkEnd w:id="0"/>
    </w:p>
    <w:p w:rsidR="008425A6" w:rsidRPr="008425A6" w:rsidRDefault="008425A6" w:rsidP="008425A6">
      <w:pPr>
        <w:spacing w:after="0" w:line="240" w:lineRule="auto"/>
        <w:jc w:val="center"/>
        <w:outlineLvl w:val="1"/>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color w:val="152C4A"/>
          <w:sz w:val="28"/>
          <w:szCs w:val="28"/>
        </w:rPr>
        <w:t>BẢN THUYẾT MINH</w:t>
      </w:r>
      <w:r w:rsidRPr="008425A6">
        <w:rPr>
          <w:rFonts w:ascii="Times New Roman" w:eastAsia="Times New Roman" w:hAnsi="Times New Roman" w:cs="Times New Roman"/>
          <w:b/>
          <w:bCs/>
          <w:color w:val="152C4A"/>
          <w:sz w:val="28"/>
          <w:szCs w:val="28"/>
        </w:rPr>
        <w:br/>
        <w:t>Về dự thảo Nghị quyết sửa đổi, bổ sung một số điều của Hiến pháp nước Cộng hòa xã hội chủ nghĩa Việt Nam năm 2013</w:t>
      </w:r>
      <w:r w:rsidRPr="008425A6">
        <w:rPr>
          <w:rFonts w:ascii="Times New Roman" w:eastAsia="Times New Roman" w:hAnsi="Times New Roman" w:cs="Times New Roman"/>
          <w:b/>
          <w:bCs/>
          <w:color w:val="152C4A"/>
          <w:sz w:val="28"/>
          <w:szCs w:val="28"/>
        </w:rPr>
        <w:br/>
        <w:t>---------</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Ngày 05/5/2025, Quốc hội khóa XV đã thảo luận và thông qua Nghị quyết số 194/2025/QH15 với 452 đại biểu Quốc hội biểu quyết tán thành </w:t>
      </w:r>
      <w:r w:rsidRPr="008425A6">
        <w:rPr>
          <w:rFonts w:ascii="Times New Roman" w:eastAsia="Times New Roman" w:hAnsi="Times New Roman" w:cs="Times New Roman"/>
          <w:i/>
          <w:iCs/>
          <w:color w:val="152C4A"/>
          <w:sz w:val="28"/>
          <w:szCs w:val="28"/>
        </w:rPr>
        <w:t>(chiếm tỷ lệ 100% số đại biểu có mặt và 94,56% tổng số đại biểu Quốc hội).</w:t>
      </w:r>
      <w:r w:rsidRPr="008425A6">
        <w:rPr>
          <w:rFonts w:ascii="Times New Roman" w:eastAsia="Times New Roman" w:hAnsi="Times New Roman" w:cs="Times New Roman"/>
          <w:color w:val="152C4A"/>
          <w:sz w:val="28"/>
          <w:szCs w:val="28"/>
        </w:rPr>
        <w:t> </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Dự thảo Nghị quyết sửa đổi, bổ sung một số điều của Hiến pháp nước Cộng hòa xã hội chủ nghĩa Việt Nam năm 2013 gồm có 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rsidR="008425A6" w:rsidRPr="008425A6" w:rsidRDefault="008425A6" w:rsidP="008425A6">
      <w:pPr>
        <w:spacing w:after="0" w:line="240" w:lineRule="auto"/>
        <w:ind w:firstLine="567"/>
        <w:jc w:val="both"/>
        <w:outlineLvl w:val="2"/>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color w:val="152C4A"/>
          <w:sz w:val="28"/>
          <w:szCs w:val="28"/>
        </w:rPr>
        <w:t>1. Về Điều 1 của dự thảo Nghị quyết</w:t>
      </w:r>
    </w:p>
    <w:p w:rsidR="008425A6" w:rsidRPr="008425A6" w:rsidRDefault="008425A6" w:rsidP="008425A6">
      <w:pPr>
        <w:spacing w:after="0" w:line="240" w:lineRule="auto"/>
        <w:ind w:firstLine="567"/>
        <w:jc w:val="both"/>
        <w:outlineLvl w:val="3"/>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i/>
          <w:iCs/>
          <w:color w:val="152C4A"/>
          <w:sz w:val="28"/>
          <w:szCs w:val="28"/>
        </w:rPr>
        <w:t>1.1. Sửa đổi, bổ sung quy định về Mặt trận Tổ quốc Việt Nam và các tổ chức chính trị - xã hội (Điều 9 của Hiến pháp năm 2013)</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xml:space="preserve">Theo quy định của Hiến pháp năm 2013, Mặt trận Tổ quốc Việt Nam được xác định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(khoản 1 Điều 9); nguyên tắc hoạt động cơ bản của Mặt trận Tổ quốc Việt Nam và các tổ chức </w:t>
      </w:r>
      <w:r w:rsidRPr="008425A6">
        <w:rPr>
          <w:rFonts w:ascii="Times New Roman" w:eastAsia="Times New Roman" w:hAnsi="Times New Roman" w:cs="Times New Roman"/>
          <w:color w:val="152C4A"/>
          <w:sz w:val="28"/>
          <w:szCs w:val="28"/>
        </w:rPr>
        <w:lastRenderedPageBreak/>
        <w:t>thành viên là phối hợp và thống nhất hành động trong Mặt trận Tổ quốc Việt Nam (khoản 2 Điều 9). </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Khi phối hợp và thống nhất hành động, các tổ chức thành viên của Mặt trận Tổ quốc Việt Nam tuân theo Điều lệ Mặt trận Tổ quốc Việt Nam, đồng thời vẫn giữ tính độc lập của tổ chức mình (khoản 3 Điều 4 của Luật Mặt trận Tổ quốc Việt Nam năm 2015).</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xml:space="preserve">(1)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w:t>
      </w:r>
      <w:r w:rsidRPr="008425A6">
        <w:rPr>
          <w:rFonts w:ascii="Times New Roman" w:eastAsia="Times New Roman" w:hAnsi="Times New Roman" w:cs="Times New Roman"/>
          <w:color w:val="152C4A"/>
          <w:sz w:val="28"/>
          <w:szCs w:val="28"/>
        </w:rPr>
        <w:lastRenderedPageBreak/>
        <w:t>ánh ý kiến, kiến nghị của Nhân dân đến các cơ quan nhà nước; tham gia xây dựng Đảng, Nhà nước, hoạt động đối ngoại nhân dân, góp phần xây dựng và bảo vệ Tổ quốc.</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(2) Quy định khái quát về các tổ chức chính trị - xã hội theo hướng khẳng định vị trí của các tổ chức 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8425A6" w:rsidRPr="008425A6" w:rsidRDefault="008425A6" w:rsidP="008425A6">
      <w:pPr>
        <w:spacing w:after="0" w:line="240" w:lineRule="auto"/>
        <w:ind w:firstLine="567"/>
        <w:jc w:val="both"/>
        <w:outlineLvl w:val="3"/>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i/>
          <w:iCs/>
          <w:color w:val="152C4A"/>
          <w:sz w:val="28"/>
          <w:szCs w:val="28"/>
        </w:rPr>
        <w:t>1.2. Sửa đổi, bổ sung quy định về Công đoàn Việt Nam (Điều 10 của Hiến pháp năm 2013)</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trận Tổ quốc Việt Nam.</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w:t>
      </w:r>
      <w:r w:rsidRPr="008425A6">
        <w:rPr>
          <w:rFonts w:ascii="Times New Roman" w:eastAsia="Times New Roman" w:hAnsi="Times New Roman" w:cs="Times New Roman"/>
          <w:color w:val="152C4A"/>
          <w:sz w:val="28"/>
          <w:szCs w:val="28"/>
        </w:rPr>
        <w:lastRenderedPageBreak/>
        <w:t>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8425A6">
        <w:rPr>
          <w:rFonts w:ascii="Times New Roman" w:eastAsia="Times New Roman" w:hAnsi="Times New Roman" w:cs="Times New Roman"/>
          <w:i/>
          <w:iCs/>
          <w:color w:val="152C4A"/>
          <w:sz w:val="28"/>
          <w:szCs w:val="28"/>
        </w:rPr>
        <w:t>là đại diện của người lao động ở cấp quốc gia trong quan hệ lao động và quan hệ quốc tế về công đoàn.</w:t>
      </w:r>
    </w:p>
    <w:p w:rsidR="008425A6" w:rsidRPr="008425A6" w:rsidRDefault="008425A6" w:rsidP="008425A6">
      <w:pPr>
        <w:spacing w:after="0" w:line="240" w:lineRule="auto"/>
        <w:ind w:firstLine="567"/>
        <w:jc w:val="both"/>
        <w:outlineLvl w:val="3"/>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i/>
          <w:iCs/>
          <w:color w:val="152C4A"/>
          <w:sz w:val="28"/>
          <w:szCs w:val="28"/>
        </w:rPr>
        <w:t>1.3. Sửa đổi, bổ sung quy định về quyền trình dự án luật, dự án pháp lệnh của các tổ chức chính trị - xã hội (Điều 84 của Hiến pháp năm 2013)</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rsidR="008425A6" w:rsidRPr="008425A6" w:rsidRDefault="008425A6" w:rsidP="008425A6">
      <w:pPr>
        <w:spacing w:after="0" w:line="240" w:lineRule="auto"/>
        <w:ind w:firstLine="567"/>
        <w:jc w:val="both"/>
        <w:outlineLvl w:val="3"/>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i/>
          <w:iCs/>
          <w:color w:val="152C4A"/>
          <w:sz w:val="28"/>
          <w:szCs w:val="28"/>
        </w:rPr>
        <w:t>1.4. Sửa đổi, bổ sung quy định về tổ chức đơn vị hành chính (Điều 110 của Hiến pháp năm 2013)</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Điều 110 của Hiến pháp năm 2013 quy định đơn vị hành chính của nước ta gồm trên 10 loại đơn vị hành chính với tên gọi khác nhau thuộc 03 cấp (cấp tỉnh, cấp huyện, cấp xã).</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Mô hình tổ chức chính quyền địa phương 03 cấp đã phát huy vai trò, đóng góp tích cực trong các giai đoạn xây dựng, phát triển đất nước và bảo vệ Tổ quốc.</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lastRenderedPageBreak/>
        <w:t>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Thực tiễn ở Việt Nam cũng đã thực hiện việc nhập một số đơn vị hành chính trên cả nước, cho thấy khả năng bảo đảm hiệu quả quản lý đối với các đơn vị hành chính có quy mô lớn hơn.</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Thực hiện chủ trương sắp xếp tinh gọn tổ chức bộ máy của hệ thống chính trị, Nghị quyết số 60-NQ/TW ngày 12/4/2025 Hội nghị lần thứ 11 Ban Chấp hành Trung ương Đảng khóa XIII về tổ chức chính quyền địa phương 02 cấp và kết thúc hoạt động của đơn vị hành chính cấp huyện từ ngày 01/7/2025,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Hiện tại, dự án Luật Tổ chức chính quyền địa phương (sửa đổi) đang dự kiến quy định xã là đơn vị hành chính ở nông thôn; phường là đơn vị hành chính ở đô thị và đặc khu là đơn vị hành chính ở hải đảo.</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Việc sử dụng cụm từ “đơn vị hành chính dưới tỉnh, thành phố trực thuộc trung ương” là bảo đảm thống nhất với nội dung đã được quy định tại khoản 8 Điều 74 và khoản 4 Điều 96 của Hiến pháp hiện nay.</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b/>
          <w:bCs/>
          <w:i/>
          <w:iCs/>
          <w:color w:val="152C4A"/>
          <w:sz w:val="28"/>
          <w:szCs w:val="28"/>
        </w:rPr>
        <w:t>1.5. Sửa đổi, bổ sung một số quy định khác về chính quyền địa phương</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Trong thực tế hiện nay, việc sử dụng thuật ngữ </w:t>
      </w:r>
      <w:r w:rsidRPr="008425A6">
        <w:rPr>
          <w:rFonts w:ascii="Times New Roman" w:eastAsia="Times New Roman" w:hAnsi="Times New Roman" w:cs="Times New Roman"/>
          <w:i/>
          <w:iCs/>
          <w:color w:val="152C4A"/>
          <w:sz w:val="28"/>
          <w:szCs w:val="28"/>
        </w:rPr>
        <w:t>“cấp chính quyền địa phương”</w:t>
      </w:r>
      <w:r w:rsidRPr="008425A6">
        <w:rPr>
          <w:rFonts w:ascii="Times New Roman" w:eastAsia="Times New Roman" w:hAnsi="Times New Roman" w:cs="Times New Roman"/>
          <w:color w:val="152C4A"/>
          <w:sz w:val="28"/>
          <w:szCs w:val="28"/>
        </w:rPr>
        <w:t> để chỉ chính quyền địa phương tại những đơn vị hành chính tổ chức đồng thời cả Hội đồng nhân dân và Ủy ban nhân dân dễ gây nhầm lẫn với thuật ngữ </w:t>
      </w:r>
      <w:r w:rsidRPr="008425A6">
        <w:rPr>
          <w:rFonts w:ascii="Times New Roman" w:eastAsia="Times New Roman" w:hAnsi="Times New Roman" w:cs="Times New Roman"/>
          <w:i/>
          <w:iCs/>
          <w:color w:val="152C4A"/>
          <w:sz w:val="28"/>
          <w:szCs w:val="28"/>
        </w:rPr>
        <w:t>“chính quyền địa phương”</w:t>
      </w:r>
      <w:r w:rsidRPr="008425A6">
        <w:rPr>
          <w:rFonts w:ascii="Times New Roman" w:eastAsia="Times New Roman" w:hAnsi="Times New Roman" w:cs="Times New Roman"/>
          <w:color w:val="152C4A"/>
          <w:sz w:val="28"/>
          <w:szCs w:val="28"/>
        </w:rPr>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w:t>
      </w:r>
      <w:r w:rsidRPr="008425A6">
        <w:rPr>
          <w:rFonts w:ascii="Times New Roman" w:eastAsia="Times New Roman" w:hAnsi="Times New Roman" w:cs="Times New Roman"/>
          <w:color w:val="152C4A"/>
          <w:sz w:val="28"/>
          <w:szCs w:val="28"/>
        </w:rPr>
        <w:lastRenderedPageBreak/>
        <w:t>cấp tỉnh, cấp xã có Hội đồng nhân dân và Ủy ban nhân dân, đề nghị sửa đổi, bổ sung các điều 111, 112, 114 của Hiến pháp năm 2013 theo hướng quy định tổ chức chính quyền địa phương gồm Hội đồng nhân dân và Ủy ban nhân dân; không sử dụng thuật ngữ </w:t>
      </w:r>
      <w:r w:rsidRPr="008425A6">
        <w:rPr>
          <w:rFonts w:ascii="Times New Roman" w:eastAsia="Times New Roman" w:hAnsi="Times New Roman" w:cs="Times New Roman"/>
          <w:i/>
          <w:iCs/>
          <w:color w:val="152C4A"/>
          <w:sz w:val="28"/>
          <w:szCs w:val="28"/>
        </w:rPr>
        <w:t>“cấp chính quyền địa phương”</w:t>
      </w:r>
      <w:r w:rsidRPr="008425A6">
        <w:rPr>
          <w:rFonts w:ascii="Times New Roman" w:eastAsia="Times New Roman" w:hAnsi="Times New Roman" w:cs="Times New Roman"/>
          <w:color w:val="152C4A"/>
          <w:sz w:val="28"/>
          <w:szCs w:val="28"/>
        </w:rPr>
        <w:t>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rsidR="008425A6" w:rsidRPr="008425A6" w:rsidRDefault="008425A6" w:rsidP="008425A6">
      <w:pPr>
        <w:spacing w:after="0" w:line="240" w:lineRule="auto"/>
        <w:ind w:firstLine="567"/>
        <w:jc w:val="both"/>
        <w:outlineLvl w:val="2"/>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color w:val="152C4A"/>
          <w:sz w:val="28"/>
          <w:szCs w:val="28"/>
        </w:rPr>
        <w:t>2. Về Điều 2 của dự thảo Nghị quyết</w:t>
      </w:r>
    </w:p>
    <w:p w:rsidR="008425A6" w:rsidRPr="008425A6" w:rsidRDefault="008425A6" w:rsidP="008425A6">
      <w:pPr>
        <w:spacing w:after="0" w:line="240" w:lineRule="auto"/>
        <w:ind w:firstLine="567"/>
        <w:jc w:val="both"/>
        <w:outlineLvl w:val="3"/>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i/>
          <w:iCs/>
          <w:color w:val="152C4A"/>
          <w:sz w:val="28"/>
          <w:szCs w:val="28"/>
        </w:rPr>
        <w:t>2.1. Về hiệu lực thi hành</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w:t>
      </w:r>
      <w:r w:rsidRPr="008425A6">
        <w:rPr>
          <w:rFonts w:ascii="Times New Roman" w:eastAsia="Times New Roman" w:hAnsi="Times New Roman" w:cs="Times New Roman"/>
          <w:color w:val="152C4A"/>
          <w:sz w:val="28"/>
          <w:szCs w:val="28"/>
        </w:rPr>
        <w:lastRenderedPageBreak/>
        <w:t>định, hướng dẫn, phân định lại nhiệm vụ, quyền hạn của các cấp chính quyền địa phương trong các lĩnh vực quản lý nhà nước khi không còn tổ chức chính quyền cấp huyện, đề nghị xác định thời điểm có hiệu lực thi hành của Nghị quyết sửa đổi, bổ sung một số điều của Hiến pháp năm 2013 là từ ngày 01/7/2025.</w:t>
      </w:r>
    </w:p>
    <w:p w:rsidR="008425A6" w:rsidRPr="008425A6" w:rsidRDefault="008425A6" w:rsidP="008425A6">
      <w:pPr>
        <w:spacing w:after="0" w:line="240" w:lineRule="auto"/>
        <w:ind w:firstLine="567"/>
        <w:jc w:val="both"/>
        <w:outlineLvl w:val="3"/>
        <w:rPr>
          <w:rFonts w:ascii="Times New Roman" w:eastAsia="Times New Roman" w:hAnsi="Times New Roman" w:cs="Times New Roman"/>
          <w:b/>
          <w:bCs/>
          <w:color w:val="152C4A"/>
          <w:sz w:val="28"/>
          <w:szCs w:val="28"/>
        </w:rPr>
      </w:pPr>
      <w:r w:rsidRPr="008425A6">
        <w:rPr>
          <w:rFonts w:ascii="Times New Roman" w:eastAsia="Times New Roman" w:hAnsi="Times New Roman" w:cs="Times New Roman"/>
          <w:b/>
          <w:bCs/>
          <w:i/>
          <w:iCs/>
          <w:color w:val="152C4A"/>
          <w:sz w:val="28"/>
          <w:szCs w:val="28"/>
        </w:rPr>
        <w:t>2.2. Về điều khoản chuyển tiếp</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Nghị quyết số 60-NQ/TW ngày 12/4/2025 Hội nghị lần thứ 11 Ban Chấp hành Trung ương Đảng khóa XIII đã thống nhất khẳng định: </w:t>
      </w:r>
      <w:r w:rsidRPr="008425A6">
        <w:rPr>
          <w:rFonts w:ascii="Times New Roman" w:eastAsia="Times New Roman" w:hAnsi="Times New Roman" w:cs="Times New Roman"/>
          <w:i/>
          <w:iCs/>
          <w:color w:val="152C4A"/>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sidRPr="008425A6">
        <w:rPr>
          <w:rFonts w:ascii="Times New Roman" w:eastAsia="Times New Roman" w:hAnsi="Times New Roman" w:cs="Times New Roman"/>
          <w:color w:val="152C4A"/>
          <w:sz w:val="28"/>
          <w:szCs w:val="28"/>
        </w:rPr>
        <w:t>, vì vậy, trong dự thảo Nghị quyết này cần có quy định để chính thức tuyên bố việc kết thúc hoạt động của đơn vị hành chính cấp huyện đang có hiện nay trên phạm vi cả nước. Trên cơ sở đó, các luật, nghị quyết của Quốc hội sẽ xác định một khoảng thời gian chuyển tiếp phù hợp để các cơ quan ở cấp huyện hoàn thành việc bàn giao, kết thúc hoạt động; 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sau khi thực hiện sắp xếp, sáp nhập hoạt động thông suốt, đồng bộ, hiệu lực, hiệu quả, thực hiện đầy đủ các nhiệm vụ, quyền hạn theo quy định mới của các luật, nghị quyết theo đúng tiến độ yêu cầu, không để gián đoạn công việc, không bỏ trống địa bàn, lĩnh vực, không để ảnh hưởng đến hoạt động bình thường của cơ quan, đơn vị, tổ chức, xã hội và người dân.</w:t>
      </w:r>
    </w:p>
    <w:p w:rsidR="008425A6" w:rsidRPr="008425A6" w:rsidRDefault="008425A6" w:rsidP="008425A6">
      <w:pPr>
        <w:spacing w:after="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sidRPr="008425A6">
        <w:rPr>
          <w:rFonts w:ascii="Times New Roman" w:eastAsia="Times New Roman" w:hAnsi="Times New Roman" w:cs="Times New Roman"/>
          <w:i/>
          <w:iCs/>
          <w:color w:val="152C4A"/>
          <w:sz w:val="28"/>
          <w:szCs w:val="28"/>
        </w:rPr>
        <w:t>khoản 3 Điều 2</w:t>
      </w:r>
      <w:r w:rsidRPr="008425A6">
        <w:rPr>
          <w:rFonts w:ascii="Times New Roman" w:eastAsia="Times New Roman" w:hAnsi="Times New Roman" w:cs="Times New Roman"/>
          <w:color w:val="152C4A"/>
          <w:sz w:val="28"/>
          <w:szCs w:val="28"/>
        </w:rPr>
        <w:t>) quy định việc chỉ định các chức danh của Hội đồng nhân dân, Ủy ban nhân dân và Trưởng đoàn, Phó trưởng Đoàn đại biểu Quốc hội để tạo cơ sở pháp lý cho việc kiện toàn tổ chức bộ máy của các cơ quan trong đợt sắp xếp đơn vị hành chính cấp tỉnh, cấp xã năm 2025 và kiện toàn tổ chức bộ máy của Hội đồng nhân dân, Ủy ban nhân dân nhiệm kỳ 2021 - 2026 khi không còn đơn vị hành chính cấp huyện.</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xml:space="preserve">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w:t>
      </w:r>
      <w:r w:rsidRPr="008425A6">
        <w:rPr>
          <w:rFonts w:ascii="Times New Roman" w:eastAsia="Times New Roman" w:hAnsi="Times New Roman" w:cs="Times New Roman"/>
          <w:color w:val="152C4A"/>
          <w:sz w:val="28"/>
          <w:szCs w:val="28"/>
        </w:rPr>
        <w:lastRenderedPageBreak/>
        <w:t>huyện sẽ kết thúc hoạt động cùng thời điểm sắp xếp đơn vị hành chính cấp tỉnh, cấp xã. </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Trong điều kiện tổ chức bộ máy có sự thay đổi, biến động lớn như vậy, thời gian còn lại của nhiệm kỳ Hội đồng nhân dân chỉ còn rất ngắn, đại biểu Hội đồng nhân dân ở các đơn vị hành chính hình thành sau sắp xếp được tập hợp từ nhiều đơn vị hành chính trước đó khó có điều kiện nhận biết, đánh giá chính xác về năng lực của đội ngũ cán bộ sau sắp xếp.</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Hội đồng nhân dân tại các đơn vị thực hiện sắp xếp là cần thiết, đáp ứng yêu cầu thực tiễn. </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Hội đồng nhân dân sẽ bầu các chức danh của Hội đồng nhân dân và Ủy ban nhân dân.</w:t>
      </w:r>
    </w:p>
    <w:p w:rsidR="008425A6" w:rsidRPr="008425A6" w:rsidRDefault="008425A6" w:rsidP="008425A6">
      <w:pPr>
        <w:spacing w:before="120" w:after="120" w:line="240" w:lineRule="auto"/>
        <w:ind w:firstLine="567"/>
        <w:jc w:val="both"/>
        <w:rPr>
          <w:rFonts w:ascii="Times New Roman" w:eastAsia="Times New Roman" w:hAnsi="Times New Roman" w:cs="Times New Roman"/>
          <w:color w:val="152C4A"/>
          <w:sz w:val="28"/>
          <w:szCs w:val="28"/>
        </w:rPr>
      </w:pPr>
      <w:r w:rsidRPr="008425A6">
        <w:rPr>
          <w:rFonts w:ascii="Times New Roman" w:eastAsia="Times New Roman" w:hAnsi="Times New Roman" w:cs="Times New Roman"/>
          <w:color w:val="152C4A"/>
          <w:sz w:val="28"/>
          <w:szCs w:val="28"/>
        </w:rPr>
        <w:t>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w:t>
      </w:r>
    </w:p>
    <w:p w:rsidR="008425A6" w:rsidRPr="008425A6" w:rsidRDefault="008425A6" w:rsidP="008425A6">
      <w:pPr>
        <w:spacing w:after="0" w:line="240" w:lineRule="auto"/>
        <w:jc w:val="center"/>
        <w:rPr>
          <w:rFonts w:ascii="Times New Roman" w:eastAsia="Times New Roman" w:hAnsi="Times New Roman" w:cs="Times New Roman"/>
          <w:color w:val="152C4A"/>
          <w:sz w:val="28"/>
          <w:szCs w:val="28"/>
        </w:rPr>
      </w:pPr>
      <w:r w:rsidRPr="008425A6">
        <w:rPr>
          <w:rFonts w:ascii="Times New Roman" w:eastAsia="Times New Roman" w:hAnsi="Times New Roman" w:cs="Times New Roman"/>
          <w:b/>
          <w:bCs/>
          <w:color w:val="152C4A"/>
          <w:sz w:val="28"/>
          <w:szCs w:val="28"/>
        </w:rPr>
        <w:t>ỦY BAN DỰ THẢO SỬA ĐỔI, BỔ SUNG</w:t>
      </w:r>
    </w:p>
    <w:p w:rsidR="008425A6" w:rsidRPr="008425A6" w:rsidRDefault="008425A6" w:rsidP="008425A6">
      <w:pPr>
        <w:spacing w:after="0" w:line="240" w:lineRule="auto"/>
        <w:jc w:val="center"/>
        <w:rPr>
          <w:rFonts w:ascii="Times New Roman" w:eastAsia="Times New Roman" w:hAnsi="Times New Roman" w:cs="Times New Roman"/>
          <w:color w:val="152C4A"/>
          <w:sz w:val="28"/>
          <w:szCs w:val="28"/>
        </w:rPr>
      </w:pPr>
      <w:r w:rsidRPr="008425A6">
        <w:rPr>
          <w:rFonts w:ascii="Times New Roman" w:eastAsia="Times New Roman" w:hAnsi="Times New Roman" w:cs="Times New Roman"/>
          <w:b/>
          <w:bCs/>
          <w:color w:val="152C4A"/>
          <w:sz w:val="28"/>
          <w:szCs w:val="28"/>
        </w:rPr>
        <w:t>MỘT SỐ ĐIỀU CỦA HIẾN PHÁP NĂM 2013</w:t>
      </w:r>
    </w:p>
    <w:p w:rsidR="001F1021" w:rsidRPr="008425A6" w:rsidRDefault="001F1021">
      <w:pPr>
        <w:rPr>
          <w:rFonts w:ascii="Times New Roman" w:hAnsi="Times New Roman" w:cs="Times New Roman"/>
          <w:sz w:val="28"/>
          <w:szCs w:val="28"/>
        </w:rPr>
      </w:pPr>
    </w:p>
    <w:sectPr w:rsidR="001F1021" w:rsidRPr="00842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A6"/>
    <w:rsid w:val="001F1021"/>
    <w:rsid w:val="0084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E8F"/>
  <w15:chartTrackingRefBased/>
  <w15:docId w15:val="{ACCF3BCF-40DB-4D5C-BD28-55540562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2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25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25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25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25A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42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5A6"/>
    <w:rPr>
      <w:b/>
      <w:bCs/>
    </w:rPr>
  </w:style>
  <w:style w:type="character" w:styleId="Emphasis">
    <w:name w:val="Emphasis"/>
    <w:basedOn w:val="DefaultParagraphFont"/>
    <w:uiPriority w:val="20"/>
    <w:qFormat/>
    <w:rsid w:val="00842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9189">
      <w:bodyDiv w:val="1"/>
      <w:marLeft w:val="0"/>
      <w:marRight w:val="0"/>
      <w:marTop w:val="0"/>
      <w:marBottom w:val="0"/>
      <w:divBdr>
        <w:top w:val="none" w:sz="0" w:space="0" w:color="auto"/>
        <w:left w:val="none" w:sz="0" w:space="0" w:color="auto"/>
        <w:bottom w:val="none" w:sz="0" w:space="0" w:color="auto"/>
        <w:right w:val="none" w:sz="0" w:space="0" w:color="auto"/>
      </w:divBdr>
      <w:divsChild>
        <w:div w:id="507521422">
          <w:marLeft w:val="0"/>
          <w:marRight w:val="0"/>
          <w:marTop w:val="0"/>
          <w:marBottom w:val="225"/>
          <w:divBdr>
            <w:top w:val="none" w:sz="0" w:space="0" w:color="auto"/>
            <w:left w:val="none" w:sz="0" w:space="0" w:color="auto"/>
            <w:bottom w:val="none" w:sz="0" w:space="0" w:color="auto"/>
            <w:right w:val="none" w:sz="0" w:space="0" w:color="auto"/>
          </w:divBdr>
        </w:div>
        <w:div w:id="133406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cp:revision>
  <dcterms:created xsi:type="dcterms:W3CDTF">2025-05-13T07:05:00Z</dcterms:created>
  <dcterms:modified xsi:type="dcterms:W3CDTF">2025-05-13T07:08:00Z</dcterms:modified>
</cp:coreProperties>
</file>